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C" w:rsidRPr="000744CC" w:rsidRDefault="000744CC" w:rsidP="00074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информация для Вас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p w:rsidR="000744CC" w:rsidRDefault="000744CC" w:rsidP="000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744CC" w:rsidRPr="000744CC" w:rsidRDefault="000744CC" w:rsidP="000744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44CC">
        <w:rPr>
          <w:rFonts w:ascii="Arial" w:hAnsi="Arial" w:cs="Arial"/>
          <w:sz w:val="24"/>
          <w:szCs w:val="24"/>
        </w:rPr>
        <w:t xml:space="preserve">До 1 января 2012 года (в отношении объектов, предусмотренных </w:t>
      </w:r>
      <w:hyperlink w:anchor="sub_133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3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4" w:history="1">
        <w:r w:rsidRPr="000744CC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статьи), до 1 июля 2013 года (в отношении объектов, предусмотренных </w:t>
      </w:r>
      <w:hyperlink w:anchor="sub_135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5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6" w:history="1">
        <w:r w:rsidRPr="000744CC">
          <w:rPr>
            <w:rFonts w:ascii="Arial" w:hAnsi="Arial" w:cs="Arial"/>
            <w:color w:val="106BBE"/>
            <w:sz w:val="24"/>
            <w:szCs w:val="24"/>
          </w:rPr>
          <w:t>6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статьи,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до 1 января 2016 года (в отношении объектов, предусмотренных </w:t>
      </w:r>
      <w:hyperlink w:anchor="sub_1351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5.1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61" w:history="1">
        <w:r w:rsidRPr="000744CC">
          <w:rPr>
            <w:rFonts w:ascii="Arial" w:hAnsi="Arial" w:cs="Arial"/>
            <w:color w:val="106BBE"/>
            <w:sz w:val="24"/>
            <w:szCs w:val="24"/>
          </w:rPr>
          <w:t>6.1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статьи, в части оснащения их приборами учета используемого природного газа) организации, указанные в </w:t>
      </w:r>
      <w:hyperlink w:anchor="sub_139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части 9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статьи, обязаны совершить действия по оснащению приборами учета используемых энергетических ресурсов, снабжение которыми и передачу которых указанные организации осуществляют, объектов, инженерно-техническое оборудование которых непосредственно присоединено к принадлежащим им сетям инженерно-технического обеспечения и которые в нарушение требований </w:t>
      </w:r>
      <w:hyperlink w:anchor="sub_133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частей 3 - 6.1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 не были оснащены приборами учета используемых энергетических ресурсов в установленный срок. Лицо, не исполнившее в установленный срок обязанности по оснащению данных объектов приборами учета используемых энергетических ресурсов,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учета. В случае отказа от оплаты расходов в добровольном порядке лицо, не исполнившее в установленный срок обязанности по оснащению данных объектов приборами учета используемых энергетических ресурсов, должно также оплатить понесенные указанными организациями расходы в связи с необходимостью принудительного взыскания. При этом граждане - собственники жилых домов, дачных домов или садовых домов, граждане - собственники помещений в многоквартирных домах, не исполнившие в установленный срок обязанностей, предусмотренных </w:t>
      </w:r>
      <w:hyperlink w:anchor="sub_135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5 - 6.1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статьи, если это потребовало от указанных организаций совершения действий по установке приборов учета используемых энергетических ресурсов, оплачивают равными долями в течение пяти лет с даты их установки расходы указанных организаций на установку этих приборов учета при условии, что ими не выражено намерение оплатить такие расходы единовременно или с меньшим периодом рассрочки. 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</w:t>
      </w:r>
      <w:hyperlink r:id="rId4" w:history="1">
        <w:r w:rsidRPr="000744CC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0744CC">
        <w:rPr>
          <w:rFonts w:ascii="Arial" w:hAnsi="Arial" w:cs="Arial"/>
          <w:sz w:val="24"/>
          <w:szCs w:val="24"/>
        </w:rPr>
        <w:t xml:space="preserve"> Центрального банка Российской Федерации, действующей на дату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 После 1 января 2012 года (в отношении объектов, указанных в </w:t>
      </w:r>
      <w:hyperlink w:anchor="sub_133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частях 3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4" w:history="1">
        <w:r w:rsidRPr="000744CC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статьи, и введенных в эксплуатацию после дня </w:t>
      </w:r>
      <w:hyperlink w:anchor="sub_49" w:history="1">
        <w:r w:rsidRPr="000744CC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настоящего Федерального закона аналогичных объектов), после 1 июля 2013 года (в отношении предусмотренных </w:t>
      </w:r>
      <w:hyperlink w:anchor="sub_135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5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6" w:history="1">
        <w:r w:rsidRPr="000744CC">
          <w:rPr>
            <w:rFonts w:ascii="Arial" w:hAnsi="Arial" w:cs="Arial"/>
            <w:color w:val="106BBE"/>
            <w:sz w:val="24"/>
            <w:szCs w:val="24"/>
          </w:rPr>
          <w:t>6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воды, тепловой энергии, электрической энергии, в том числе оснащения многоквартирных домов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коммунальных квартир) приборами учета используемых воды, электрической энергии) и после 1 января 2016 года (в </w:t>
      </w:r>
      <w:r w:rsidRPr="000744CC">
        <w:rPr>
          <w:rFonts w:ascii="Arial" w:hAnsi="Arial" w:cs="Arial"/>
          <w:sz w:val="24"/>
          <w:szCs w:val="24"/>
        </w:rPr>
        <w:lastRenderedPageBreak/>
        <w:t xml:space="preserve">отношении предусмотренных </w:t>
      </w:r>
      <w:hyperlink w:anchor="sub_1351" w:history="1">
        <w:r w:rsidRPr="000744CC">
          <w:rPr>
            <w:rFonts w:ascii="Arial" w:hAnsi="Arial" w:cs="Arial"/>
            <w:color w:val="106BBE"/>
            <w:sz w:val="24"/>
            <w:szCs w:val="24"/>
          </w:rPr>
          <w:t>частями 5.1</w:t>
        </w:r>
      </w:hyperlink>
      <w:r w:rsidRPr="000744CC">
        <w:rPr>
          <w:rFonts w:ascii="Arial" w:hAnsi="Arial" w:cs="Arial"/>
          <w:sz w:val="24"/>
          <w:szCs w:val="24"/>
        </w:rPr>
        <w:t xml:space="preserve"> и </w:t>
      </w:r>
      <w:hyperlink w:anchor="sub_1361" w:history="1">
        <w:r w:rsidRPr="000744CC">
          <w:rPr>
            <w:rFonts w:ascii="Arial" w:hAnsi="Arial" w:cs="Arial"/>
            <w:color w:val="106BBE"/>
            <w:sz w:val="24"/>
            <w:szCs w:val="24"/>
          </w:rPr>
          <w:t>6.1</w:t>
        </w:r>
      </w:hyperlink>
      <w:r w:rsidRPr="000744CC">
        <w:rPr>
          <w:rFonts w:ascii="Arial" w:hAnsi="Arial" w:cs="Arial"/>
          <w:sz w:val="24"/>
          <w:szCs w:val="24"/>
        </w:rPr>
        <w:t xml:space="preserve">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газа)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</w:t>
      </w:r>
      <w:proofErr w:type="spellStart"/>
      <w:r w:rsidRPr="000744CC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0744CC">
        <w:rPr>
          <w:rFonts w:ascii="Arial" w:hAnsi="Arial" w:cs="Arial"/>
          <w:sz w:val="24"/>
          <w:szCs w:val="24"/>
        </w:rPr>
        <w:t xml:space="preserve"> таких нарушений совершившим их лицом до истечения двух месяцев с момента их выявления.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</w:t>
      </w:r>
      <w:proofErr w:type="spellStart"/>
      <w:r w:rsidRPr="000744CC">
        <w:rPr>
          <w:rFonts w:ascii="Arial" w:hAnsi="Arial" w:cs="Arial"/>
          <w:sz w:val="24"/>
          <w:szCs w:val="24"/>
        </w:rPr>
        <w:t>неустранении</w:t>
      </w:r>
      <w:proofErr w:type="spellEnd"/>
      <w:r w:rsidRPr="000744CC">
        <w:rPr>
          <w:rFonts w:ascii="Arial" w:hAnsi="Arial" w:cs="Arial"/>
          <w:sz w:val="24"/>
          <w:szCs w:val="24"/>
        </w:rPr>
        <w:t xml:space="preserve">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учета.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эксплуатацию,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взыскания.</w:t>
      </w:r>
    </w:p>
    <w:p w:rsidR="003C3814" w:rsidRDefault="003C3814"/>
    <w:sectPr w:rsidR="003C3814" w:rsidSect="002F556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C2"/>
    <w:rsid w:val="000744CC"/>
    <w:rsid w:val="002253C2"/>
    <w:rsid w:val="003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BC80-EF32-4961-9B65-C20066EB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744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834</Words>
  <Characters>4758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Григорьевна</dc:creator>
  <cp:keywords/>
  <dc:description/>
  <cp:lastModifiedBy>Раиса Григорьевна</cp:lastModifiedBy>
  <cp:revision>3</cp:revision>
  <dcterms:created xsi:type="dcterms:W3CDTF">2015-03-02T13:43:00Z</dcterms:created>
  <dcterms:modified xsi:type="dcterms:W3CDTF">2015-03-02T13:45:00Z</dcterms:modified>
</cp:coreProperties>
</file>