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E6B" w:rsidRPr="00E63E6B" w:rsidRDefault="00E63E6B" w:rsidP="00E63E6B">
      <w:pPr>
        <w:shd w:val="clear" w:color="auto" w:fill="F6F7F9"/>
        <w:spacing w:after="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Эпидемиологическая ситуация по инфекциям, передающимися укусами клещей в Сургутском районе на 08.04.2019 года</w:t>
      </w:r>
    </w:p>
    <w:p w:rsidR="00E63E6B" w:rsidRPr="00E63E6B" w:rsidRDefault="00E63E6B" w:rsidP="00E63E6B">
      <w:pPr>
        <w:shd w:val="clear" w:color="auto" w:fill="F6F7F9"/>
        <w:spacing w:after="450" w:line="375" w:lineRule="atLeast"/>
        <w:outlineLvl w:val="0"/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</w:pPr>
      <w:r w:rsidRPr="00E63E6B">
        <w:rPr>
          <w:rFonts w:ascii="Tahoma" w:eastAsia="Times New Roman" w:hAnsi="Tahoma" w:cs="Tahoma"/>
          <w:b/>
          <w:bCs/>
          <w:caps/>
          <w:color w:val="45926C"/>
          <w:kern w:val="36"/>
          <w:sz w:val="26"/>
          <w:szCs w:val="26"/>
          <w:lang w:eastAsia="ru-RU"/>
        </w:rPr>
        <w:t>Эпидемиологическая ситуация по инфекциям, передающимися укусами клещей в Сургутском районе на 08.04.2019 года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u w:val="single"/>
          <w:lang w:eastAsia="ru-RU"/>
        </w:rPr>
        <w:t>Эпидемиологическая ситуация: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По данным еженедельного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эпидмониторинга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за инфекциями, передающимися укусами клещей с начала года по состоянию на 07.04.2019 год по Сургутскому району случаев присасывания клещей не зарегистрировано.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В 2018 году начала сезона укусов клещей зарегистрирован на территории Сургутского района 25 апреля 2018 года.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За прошедший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эпидсезон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2018 года на территории Сургутского района зарегистрировано 89 случаев укуса клещами показатель заболеваемости составил 72,35 на 100 тыс. населения (2017 году- 62 укуса, показатель заболеваемости составил 50,01 на 100 тыс. населения).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  С начала 2019 года привито против клещевого энцефалита в Сургутском районе 1330 человек, в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т.ч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. 565 детей.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u w:val="single"/>
          <w:lang w:eastAsia="ru-RU"/>
        </w:rPr>
        <w:t>Общие сведения по инфекциям, передающимися укусами клещей: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К инфекциям, передающимся иксодовыми клещами, относятся клещевой вирусный энцефалит (далее - КВЭ), Крымская геморрагическая лихорадка (далее - КГЛ), иксодовые клещевые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боррелиозы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(далее - ИКБ), туляремия, клещевые риккетсиозы (далее - КР), в частности, североазиатский клещевой риккетсиоз (сибирский клещевой тиф) и другие риккетсиозы группы клещевой пятнистой лихорадки (далее - КПЛ),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гранулоцитарный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анаплазмоз человека (далее - ГАЧ), моноцитарный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эрлихиоз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человека (далее - МЭЧ), лихорадка Ку и другие инфекции.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Ведущим механизмом передачи возбудителей инфекций, передающихся иксодовыми клещами, является трансмиссивный с реализацией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инокуляционного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(при присасывании зараженных клещей) пути передачи возбудителя.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Для инфекций, передающихся иксодовыми клещами, характерна весенне-осенняя сезонность с апреля по октябрь.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Среди профессиональных групп наибольшему риску заражения инфекциями, передающимися клещами подвержены лица, занятые в сельскохозяйственной, гидромелиоративной, строительной, заготовительной, промысловой, геологической, изыскательской, экспедиционной,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дератизационной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, дезинсекционной, озеленительной, лесозаготовительной, лесоустроительной деятельности, а также работники лабораторий, осуществляющие диагностические или научные исследования в отношении инфекций, передающихся клещами. Наибольшему риску заражения КГЛ подвержены пастухи, доярки, скотники, лица, занятые в забое и стрижке скота, в полеводческих и других сельскохозяйственных работах.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u w:val="single"/>
          <w:lang w:eastAsia="ru-RU"/>
        </w:rPr>
        <w:t>Неспецифическая индивидуальная (личная) защита людей</w:t>
      </w: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включает в себя:</w:t>
      </w:r>
    </w:p>
    <w:p w:rsidR="00E63E6B" w:rsidRPr="00E63E6B" w:rsidRDefault="00E63E6B" w:rsidP="00E63E6B">
      <w:pPr>
        <w:numPr>
          <w:ilvl w:val="0"/>
          <w:numId w:val="1"/>
        </w:numPr>
        <w:shd w:val="clear" w:color="auto" w:fill="F6F7F9"/>
        <w:spacing w:after="180" w:line="300" w:lineRule="atLeast"/>
        <w:ind w:left="600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lastRenderedPageBreak/>
        <w:t xml:space="preserve">Соблюдение правил поведения на опасной в отношении клещей территории </w:t>
      </w: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br/>
        <w:t xml:space="preserve">(не рекомендуется садиться и ложиться на траву; устраивать стоянки и ночевки в лесу следует на участках, лишенных травяной растительности или в сухих сосновых лесах на песчаных почвах; после возвращения из леса или перед ночевкой необходимо снять одежду, тщательно осмотреть тело и одежду; не рекомендуется заносить в помещение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свежесорванные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растения, верхнюю одежду и другие предметы, на которых могут оказаться клещи);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Ношение специальной одежды (при отсутствии специальной одежды одеваться таким образом, чтобы облегчить быстрый осмотр для обнаружения клещей: носить однотонную и светлую одежду; брюки заправлять в сапоги, гольфы или носки с плотной резинкой, верхнюю часть одежды — в брюки; манжеты рукавов должны плотно прилегать к руке; ворот рубашки и брюки должны не иметь застежки или иметь плотную застежку, под которую не может проползти клещ; на голову надевать капюшон, пришитый к рубашке, куртке или заправлять волосы под косынку, шапку). Применение специальных химических средств индивидуальной защиты, отпугивающих клещей: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акарицидных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средств (предназначены для обработки верхней одежды, применение на кожу недопустимо) и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репеллентных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средств. Применять средства необходимо строго в соответствии с прилагаемой инструкцией. Можно использовать любые репелленты, разрешенные к применению на территории Российской Федерации.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 </w:t>
      </w:r>
    </w:p>
    <w:p w:rsidR="00E63E6B" w:rsidRPr="00E63E6B" w:rsidRDefault="00E63E6B" w:rsidP="00E63E6B">
      <w:pPr>
        <w:shd w:val="clear" w:color="auto" w:fill="F6F7F9"/>
        <w:spacing w:before="100" w:beforeAutospacing="1" w:after="180" w:line="300" w:lineRule="atLeast"/>
        <w:rPr>
          <w:rFonts w:ascii="Tahoma" w:eastAsia="Times New Roman" w:hAnsi="Tahoma" w:cs="Tahoma"/>
          <w:color w:val="535353"/>
          <w:sz w:val="21"/>
          <w:szCs w:val="21"/>
          <w:lang w:eastAsia="ru-RU"/>
        </w:rPr>
      </w:pPr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Материал подготовлен заместителем начальника территориального отдела Управления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Роспотребнадзора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 xml:space="preserve"> по ХМАО-Югре в г. Сургуте и Сургутском районе Е.В. </w:t>
      </w:r>
      <w:proofErr w:type="spellStart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Пинжениной</w:t>
      </w:r>
      <w:proofErr w:type="spellEnd"/>
      <w:r w:rsidRPr="00E63E6B">
        <w:rPr>
          <w:rFonts w:ascii="Tahoma" w:eastAsia="Times New Roman" w:hAnsi="Tahoma" w:cs="Tahoma"/>
          <w:color w:val="535353"/>
          <w:sz w:val="21"/>
          <w:szCs w:val="21"/>
          <w:lang w:eastAsia="ru-RU"/>
        </w:rPr>
        <w:t>, тел.8(3462)24-03-18</w:t>
      </w:r>
    </w:p>
    <w:p w:rsidR="00EF369B" w:rsidRDefault="00EF369B">
      <w:bookmarkStart w:id="0" w:name="_GoBack"/>
      <w:bookmarkEnd w:id="0"/>
    </w:p>
    <w:sectPr w:rsidR="00EF369B" w:rsidSect="00E63E6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DB0DB5"/>
    <w:multiLevelType w:val="multilevel"/>
    <w:tmpl w:val="F7FE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24"/>
    <w:rsid w:val="00842A24"/>
    <w:rsid w:val="00E63E6B"/>
    <w:rsid w:val="00E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796C1-C778-4A27-A7BC-D23F0DBAE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2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 Ирина Ивановна</dc:creator>
  <cp:keywords/>
  <dc:description/>
  <cp:lastModifiedBy>Рева Ирина Ивановна</cp:lastModifiedBy>
  <cp:revision>2</cp:revision>
  <dcterms:created xsi:type="dcterms:W3CDTF">2019-04-15T09:58:00Z</dcterms:created>
  <dcterms:modified xsi:type="dcterms:W3CDTF">2019-04-15T09:58:00Z</dcterms:modified>
</cp:coreProperties>
</file>