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16" w:rsidRDefault="00464995" w:rsidP="002E2116">
      <w:pPr>
        <w:pStyle w:val="a5"/>
        <w:spacing w:before="0" w:beforeAutospacing="0" w:after="0" w:afterAutospacing="0"/>
        <w:jc w:val="center"/>
        <w:rPr>
          <w:w w:val="120"/>
        </w:rPr>
      </w:pPr>
      <w:r>
        <w:rPr>
          <w:w w:val="120"/>
        </w:rPr>
        <w:t xml:space="preserve">      </w:t>
      </w:r>
    </w:p>
    <w:p w:rsidR="002E2116" w:rsidRDefault="002E2116" w:rsidP="002E2116">
      <w:pPr>
        <w:pStyle w:val="a5"/>
        <w:spacing w:before="0" w:beforeAutospacing="0" w:after="0" w:afterAutospacing="0"/>
        <w:jc w:val="center"/>
        <w:rPr>
          <w:b/>
          <w:w w:val="120"/>
          <w:sz w:val="32"/>
          <w:szCs w:val="32"/>
          <w:u w:val="single"/>
        </w:rPr>
      </w:pPr>
    </w:p>
    <w:p w:rsidR="000728AA" w:rsidRPr="002E2116" w:rsidRDefault="002E2116" w:rsidP="002E2116">
      <w:pPr>
        <w:pStyle w:val="a5"/>
        <w:spacing w:before="0" w:beforeAutospacing="0" w:after="0" w:afterAutospacing="0"/>
        <w:jc w:val="center"/>
        <w:rPr>
          <w:i/>
          <w:color w:val="333399"/>
          <w:sz w:val="36"/>
          <w:szCs w:val="36"/>
          <w:u w:val="single"/>
        </w:rPr>
      </w:pPr>
      <w:r>
        <w:rPr>
          <w:b/>
          <w:i/>
          <w:w w:val="120"/>
          <w:sz w:val="36"/>
          <w:szCs w:val="36"/>
          <w:u w:val="single"/>
        </w:rPr>
        <w:t xml:space="preserve">    </w:t>
      </w:r>
      <w:r w:rsidR="00464995" w:rsidRPr="002E2116">
        <w:rPr>
          <w:b/>
          <w:i/>
          <w:w w:val="120"/>
          <w:sz w:val="36"/>
          <w:szCs w:val="36"/>
          <w:u w:val="single"/>
        </w:rPr>
        <w:t>Пенсионный фонд Российской Федерации</w:t>
      </w:r>
      <w:r w:rsidR="00464995" w:rsidRPr="002E2116">
        <w:rPr>
          <w:b/>
          <w:i/>
          <w:sz w:val="36"/>
          <w:szCs w:val="36"/>
          <w:u w:val="single"/>
        </w:rPr>
        <w:br/>
      </w:r>
      <w:r w:rsidR="005F7BB2" w:rsidRPr="005F7BB2">
        <w:rPr>
          <w:i/>
          <w:color w:val="333399"/>
          <w:sz w:val="36"/>
          <w:szCs w:val="36"/>
        </w:rPr>
        <w:t xml:space="preserve">                </w:t>
      </w:r>
      <w:r w:rsidR="00C37FDF" w:rsidRPr="005F7BB2">
        <w:rPr>
          <w:i/>
          <w:color w:val="333399"/>
          <w:sz w:val="36"/>
          <w:szCs w:val="36"/>
        </w:rPr>
        <w:t>Отделение ПФР по Ханты-Мансийскому автономному округу-Югре</w:t>
      </w:r>
      <w:r w:rsidR="00C37FDF" w:rsidRPr="00C37FDF">
        <w:rPr>
          <w:i/>
          <w:color w:val="333399"/>
          <w:sz w:val="36"/>
          <w:szCs w:val="36"/>
          <w:u w:val="single"/>
        </w:rPr>
        <w:t xml:space="preserve">  </w:t>
      </w:r>
    </w:p>
    <w:p w:rsidR="000B3548" w:rsidRDefault="000B3548" w:rsidP="00831560">
      <w:pPr>
        <w:spacing w:line="360" w:lineRule="auto"/>
        <w:rPr>
          <w:b/>
        </w:rPr>
      </w:pPr>
    </w:p>
    <w:p w:rsidR="00F66766" w:rsidRDefault="00030804" w:rsidP="00F66766">
      <w:pPr>
        <w:spacing w:line="360" w:lineRule="auto"/>
        <w:rPr>
          <w:b/>
        </w:rPr>
      </w:pPr>
      <w:r>
        <w:rPr>
          <w:b/>
        </w:rPr>
        <w:t>2</w:t>
      </w:r>
      <w:r w:rsidR="002E2116">
        <w:rPr>
          <w:b/>
        </w:rPr>
        <w:t>5</w:t>
      </w:r>
      <w:r w:rsidR="00762DDB">
        <w:rPr>
          <w:b/>
        </w:rPr>
        <w:t>.0</w:t>
      </w:r>
      <w:r w:rsidR="002E2116">
        <w:rPr>
          <w:b/>
        </w:rPr>
        <w:t>6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6045CC" w:rsidRDefault="006045CC" w:rsidP="00C37FDF">
      <w:pPr>
        <w:pStyle w:val="a5"/>
        <w:rPr>
          <w:rStyle w:val="ad"/>
          <w:rFonts w:ascii="Arial" w:hAnsi="Arial" w:cs="Arial"/>
          <w:color w:val="000000"/>
          <w:sz w:val="21"/>
          <w:szCs w:val="21"/>
        </w:rPr>
      </w:pPr>
      <w:hyperlink r:id="rId9" w:history="1">
        <w:r>
          <w:rPr>
            <w:rStyle w:val="ac"/>
            <w:rFonts w:ascii="Arial" w:hAnsi="Arial" w:cs="Arial"/>
            <w:b/>
            <w:bCs/>
            <w:color w:val="474747"/>
            <w:sz w:val="21"/>
            <w:szCs w:val="21"/>
            <w:shd w:val="clear" w:color="auto" w:fill="FFFFFF"/>
          </w:rPr>
          <w:t>Больше половины россиян в 2020 году перевели накопления в Пенсионный фонд России</w:t>
        </w:r>
      </w:hyperlink>
      <w:r>
        <w:rPr>
          <w:rStyle w:val="ad"/>
          <w:rFonts w:ascii="Arial" w:hAnsi="Arial" w:cs="Arial"/>
          <w:color w:val="000000"/>
          <w:sz w:val="21"/>
          <w:szCs w:val="21"/>
        </w:rPr>
        <w:t xml:space="preserve"> </w:t>
      </w:r>
    </w:p>
    <w:p w:rsidR="006045CC" w:rsidRDefault="006045CC" w:rsidP="006045CC">
      <w:pPr>
        <w:pStyle w:val="a5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color w:val="000000"/>
          <w:sz w:val="21"/>
          <w:szCs w:val="21"/>
        </w:rPr>
        <w:t>Пенсионный фонд России подвел итоги кампании по переводу пенсионных накоплений между фондами и управляющими компаниями в соответствии с поданными в 2020 году заявлениями граждан. Согласно им, в прошлом году продолжилась наметившаяся ранее тенденция по уменьшению числа желающих передать свои пенсионные накопления в новый фонд.</w:t>
      </w:r>
    </w:p>
    <w:p w:rsidR="006045CC" w:rsidRDefault="006045CC" w:rsidP="006045CC">
      <w:pPr>
        <w:pStyle w:val="a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Так, за год в ПФР поступило 129,8 тыс. заявлений о переводе средств, что в 2,7 раза меньше по сравнению с кампанией 2019 года, когда было принято 345 тыс. заявлений. Сокращение потока заявлений происходит несколько лет подряд и в том числе объясняется ограничением с 2019 года каналов их подачи, а также рассылкой уведомлений о потерях инвестиционного дохода всем, кто решил досрочно покинуть свой фонд.</w:t>
      </w:r>
    </w:p>
    <w:p w:rsidR="006045CC" w:rsidRDefault="006045CC" w:rsidP="006045CC">
      <w:pPr>
        <w:pStyle w:val="a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 рассмотрению в рамках кампании были также приняты 18,5 тыс. заявлений 2016 года о срочном переходе в новый фонд по истечении пяти лет, который осуществляется без потери средств.</w:t>
      </w:r>
    </w:p>
    <w:p w:rsidR="006045CC" w:rsidRDefault="006045CC" w:rsidP="006045CC">
      <w:pPr>
        <w:pStyle w:val="a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 итоге из 148,3 тыс. рассмотренных заявлений были одобрены 126,4 тыс., или 85%. В сравнении с предыдущей переходной кампанией доля положительных решений увеличилась (в 2019-м составляла 80%), на что также повлияли принятые ранее изменения в правила перевода. Благодаря им за последние два года в Пенсионный фонд стало подаваться меньше заявлений с ошибками и нарушением закона и, как следствие, выноситься меньше отказов.</w:t>
      </w:r>
    </w:p>
    <w:p w:rsidR="006045CC" w:rsidRDefault="006045CC" w:rsidP="006045CC">
      <w:pPr>
        <w:pStyle w:val="a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удовлетворенным заявлениям, больше половины участников переходной кампании перевели накопления из негосударственных фондов в Пенсионный фонд России. Такой выбор сделали 71,5 тыс. человек, или 56,5% всех участников. Из одного негосударственного фонда в другой перешли 38 тыс. человек (30,1% участников). Меньше всего переходов было сделано из Пенсионного фонда России в негосударственные фонды – 15,8 тыс., или 12,5%.</w:t>
      </w:r>
    </w:p>
    <w:p w:rsidR="006045CC" w:rsidRDefault="006045CC" w:rsidP="006045CC">
      <w:pPr>
        <w:pStyle w:val="a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Помимо этого, 1,1 тыс. человек (0,9% участников) выбрали новую управляющую компанию для формирования своей накопительной пенсии, оставшись в Пенсионном фонде России.</w:t>
      </w:r>
    </w:p>
    <w:p w:rsidR="006045CC" w:rsidRDefault="006045CC" w:rsidP="006045CC">
      <w:pPr>
        <w:pStyle w:val="a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 связи с реорганизацией поменяли НПФ 1,7 тыс. человек. В таких случаях закон позволяет клиентам НПФ в течение месяца перейти к новому страховщику без потери инвестиционного дохода, даже если это произошло раньше пяти лет.</w:t>
      </w:r>
    </w:p>
    <w:p w:rsidR="006045CC" w:rsidRDefault="006045CC" w:rsidP="006045CC">
      <w:pPr>
        <w:pStyle w:val="a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Все, кто в 2020 году принял решение сменить пенсионный фонд, получали уведомления ПФР о последствиях преждевременного перехода, а также могли отозвать поданное заявление о переходе. Такой возможностью в итоге воспользовались 3,4 тыс. россиян, а всего Пенсионный фонд направил 198,7 тыс. уведомлений о сумме потерь при досрочном переводе средств.</w:t>
      </w:r>
    </w:p>
    <w:p w:rsidR="006045CC" w:rsidRDefault="006045CC" w:rsidP="006045CC">
      <w:pPr>
        <w:pStyle w:val="a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 не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менее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доля досрочных переходов, согласно которым средства в новый фонд были переданы в 2021 году с удержанием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инвестдохода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увеличилась за прошедшую кампанию до 86% (с 60,5% в 2019-м). Хотя в абсолютном выражении число таких переходов все равно сократилось в 2,4 раза по сравнению с 2019 годом – с 261,6 тыс. до 108,6 тыс.</w:t>
      </w:r>
    </w:p>
    <w:p w:rsidR="006045CC" w:rsidRDefault="006045CC" w:rsidP="006045CC">
      <w:pPr>
        <w:pStyle w:val="a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Без потери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инвестдохода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накопления перевели 17,8 тыс. россиян, или 14,1% участников кампании. Согласно действующим правилам, заявления они подавали за пять лет до смены фонда, в 2016 году. Абсолютное большинство таких переводов (почти 94%) сделали те, кто вернулся из негосударственных фондов в Пенсионный фонд России.</w:t>
      </w:r>
    </w:p>
    <w:p w:rsidR="006045CC" w:rsidRDefault="006045CC" w:rsidP="006045CC">
      <w:pPr>
        <w:pStyle w:val="a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 целом потери россиян при переводе пенсионных накоплений стали заметно меньше. Если в кампанию 2019 года Пенсионный фонд удержал 2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млрд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рублей инвестиционного дохода по досрочным переводам из ПФР в НПФ, то в кампанию 2020 года этот показатель сократился на порядок и составил 34 млн рублей. Как и раньше, все удержанные средства были зачислены Пенсионным фондом в резерв по обязательному пенсионному страхованию на гарантирование выплат накоплений пенсионерам.</w:t>
      </w:r>
    </w:p>
    <w:p w:rsidR="006045CC" w:rsidRDefault="006045CC" w:rsidP="006045CC">
      <w:pPr>
        <w:pStyle w:val="a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 соответствии со сделанными переходами, в марте 2021-го Пенсионный фонд России передал в НПФ 1,5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млрд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рублей и еще 0,2 млрд рублей перераспределил между управляющими компаниями, которые работают по договору с ПФР. В свою очередь из негосударственных фондов в Пенсионный фонд России поступило 5,3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млрд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рублей. Эти средства были переданы в государственную управляющую компанию ВЭБ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Ф и частные управляющие компании.</w:t>
      </w:r>
    </w:p>
    <w:p w:rsidR="006045CC" w:rsidRDefault="006045CC" w:rsidP="006045CC">
      <w:pPr>
        <w:pStyle w:val="a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 итогам переходной кампании число россиян, которые формируют накопления в Пенсионном фонде России, выросло до 38,5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млн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человек, число клиентов негосударственных пенсионных фондов сократилось до 37,2 млн.</w:t>
      </w:r>
    </w:p>
    <w:bookmarkEnd w:id="0"/>
    <w:p w:rsidR="008A150E" w:rsidRPr="00762DDB" w:rsidRDefault="008A150E" w:rsidP="006045CC">
      <w:pPr>
        <w:spacing w:line="360" w:lineRule="auto"/>
        <w:jc w:val="both"/>
        <w:rPr>
          <w:b/>
          <w:sz w:val="28"/>
          <w:szCs w:val="28"/>
        </w:rPr>
      </w:pPr>
    </w:p>
    <w:sectPr w:rsidR="008A150E" w:rsidRPr="00762DDB" w:rsidSect="003D4AD4">
      <w:footerReference w:type="even" r:id="rId10"/>
      <w:foot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5C" w:rsidRDefault="00B04F5C">
      <w:r>
        <w:separator/>
      </w:r>
    </w:p>
  </w:endnote>
  <w:endnote w:type="continuationSeparator" w:id="0">
    <w:p w:rsidR="00B04F5C" w:rsidRDefault="00B0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6045CC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5C" w:rsidRDefault="00B04F5C">
      <w:r>
        <w:separator/>
      </w:r>
    </w:p>
  </w:footnote>
  <w:footnote w:type="continuationSeparator" w:id="0">
    <w:p w:rsidR="00B04F5C" w:rsidRDefault="00B0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E6B"/>
    <w:multiLevelType w:val="multilevel"/>
    <w:tmpl w:val="B55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C17F5"/>
    <w:rsid w:val="000D2310"/>
    <w:rsid w:val="000F640B"/>
    <w:rsid w:val="00100EAA"/>
    <w:rsid w:val="001010CC"/>
    <w:rsid w:val="00111E56"/>
    <w:rsid w:val="00122AC1"/>
    <w:rsid w:val="0012462D"/>
    <w:rsid w:val="00133FAF"/>
    <w:rsid w:val="0014112A"/>
    <w:rsid w:val="00141BAC"/>
    <w:rsid w:val="00141FCE"/>
    <w:rsid w:val="001562AE"/>
    <w:rsid w:val="001608CD"/>
    <w:rsid w:val="00161645"/>
    <w:rsid w:val="0017037D"/>
    <w:rsid w:val="00176BB2"/>
    <w:rsid w:val="00186CBA"/>
    <w:rsid w:val="00195FF7"/>
    <w:rsid w:val="00197A65"/>
    <w:rsid w:val="001C0CE2"/>
    <w:rsid w:val="001D4F41"/>
    <w:rsid w:val="001F5E4B"/>
    <w:rsid w:val="00215ECE"/>
    <w:rsid w:val="00225EC0"/>
    <w:rsid w:val="00251E85"/>
    <w:rsid w:val="00256885"/>
    <w:rsid w:val="0027070F"/>
    <w:rsid w:val="002720D5"/>
    <w:rsid w:val="0027430A"/>
    <w:rsid w:val="00276C77"/>
    <w:rsid w:val="00287C77"/>
    <w:rsid w:val="00292493"/>
    <w:rsid w:val="002936CF"/>
    <w:rsid w:val="002C1847"/>
    <w:rsid w:val="002C649D"/>
    <w:rsid w:val="002D1BF7"/>
    <w:rsid w:val="002D3AE0"/>
    <w:rsid w:val="002D5430"/>
    <w:rsid w:val="002E0A80"/>
    <w:rsid w:val="002E2116"/>
    <w:rsid w:val="00314A3C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E11"/>
    <w:rsid w:val="004B11CC"/>
    <w:rsid w:val="004B6AF2"/>
    <w:rsid w:val="004E56A8"/>
    <w:rsid w:val="004F07CE"/>
    <w:rsid w:val="004F37B6"/>
    <w:rsid w:val="005141BC"/>
    <w:rsid w:val="00522491"/>
    <w:rsid w:val="00531119"/>
    <w:rsid w:val="0055132E"/>
    <w:rsid w:val="00552EEE"/>
    <w:rsid w:val="00563C8B"/>
    <w:rsid w:val="00575801"/>
    <w:rsid w:val="00581C74"/>
    <w:rsid w:val="00582613"/>
    <w:rsid w:val="00583BA9"/>
    <w:rsid w:val="005B334D"/>
    <w:rsid w:val="005B4366"/>
    <w:rsid w:val="005B4E5B"/>
    <w:rsid w:val="005C430B"/>
    <w:rsid w:val="005F47D1"/>
    <w:rsid w:val="005F7BB2"/>
    <w:rsid w:val="006045CC"/>
    <w:rsid w:val="00611F7E"/>
    <w:rsid w:val="00620E76"/>
    <w:rsid w:val="006435EF"/>
    <w:rsid w:val="00647BDB"/>
    <w:rsid w:val="00661C60"/>
    <w:rsid w:val="00671CD3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62DDB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06D73"/>
    <w:rsid w:val="0081782B"/>
    <w:rsid w:val="00821102"/>
    <w:rsid w:val="008250FF"/>
    <w:rsid w:val="00831560"/>
    <w:rsid w:val="00832CB7"/>
    <w:rsid w:val="0085654A"/>
    <w:rsid w:val="008772AB"/>
    <w:rsid w:val="00877B5A"/>
    <w:rsid w:val="00886076"/>
    <w:rsid w:val="008867B9"/>
    <w:rsid w:val="008A150E"/>
    <w:rsid w:val="008A4266"/>
    <w:rsid w:val="008A65A2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3799A"/>
    <w:rsid w:val="00A43E47"/>
    <w:rsid w:val="00A55AB1"/>
    <w:rsid w:val="00A569A5"/>
    <w:rsid w:val="00A76E9D"/>
    <w:rsid w:val="00A86B68"/>
    <w:rsid w:val="00AA4AF3"/>
    <w:rsid w:val="00AA573B"/>
    <w:rsid w:val="00AB438F"/>
    <w:rsid w:val="00AC218A"/>
    <w:rsid w:val="00AC2BB6"/>
    <w:rsid w:val="00AE2249"/>
    <w:rsid w:val="00AE6B42"/>
    <w:rsid w:val="00AF703F"/>
    <w:rsid w:val="00B04627"/>
    <w:rsid w:val="00B04F5C"/>
    <w:rsid w:val="00B10908"/>
    <w:rsid w:val="00B13D91"/>
    <w:rsid w:val="00B13FA0"/>
    <w:rsid w:val="00B1401D"/>
    <w:rsid w:val="00B15737"/>
    <w:rsid w:val="00B4371C"/>
    <w:rsid w:val="00B4410B"/>
    <w:rsid w:val="00B462AB"/>
    <w:rsid w:val="00B54658"/>
    <w:rsid w:val="00B6096E"/>
    <w:rsid w:val="00B61C9A"/>
    <w:rsid w:val="00B63399"/>
    <w:rsid w:val="00B65921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37FDF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831E9"/>
    <w:rsid w:val="00D84E33"/>
    <w:rsid w:val="00D979AE"/>
    <w:rsid w:val="00DC1C0A"/>
    <w:rsid w:val="00DD25C7"/>
    <w:rsid w:val="00DE7F00"/>
    <w:rsid w:val="00DF41BC"/>
    <w:rsid w:val="00DF5B29"/>
    <w:rsid w:val="00E36E2A"/>
    <w:rsid w:val="00E41C05"/>
    <w:rsid w:val="00E43C30"/>
    <w:rsid w:val="00E47171"/>
    <w:rsid w:val="00E50039"/>
    <w:rsid w:val="00E56506"/>
    <w:rsid w:val="00E566B1"/>
    <w:rsid w:val="00E60917"/>
    <w:rsid w:val="00E63EB6"/>
    <w:rsid w:val="00E745DA"/>
    <w:rsid w:val="00E75FFB"/>
    <w:rsid w:val="00E77354"/>
    <w:rsid w:val="00E863E7"/>
    <w:rsid w:val="00E95560"/>
    <w:rsid w:val="00EA7856"/>
    <w:rsid w:val="00EB17AA"/>
    <w:rsid w:val="00EB5785"/>
    <w:rsid w:val="00ED1F2D"/>
    <w:rsid w:val="00ED2CAD"/>
    <w:rsid w:val="00ED4810"/>
    <w:rsid w:val="00EE7796"/>
    <w:rsid w:val="00EF0778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surgut.ru/article/394/151517/Bolshe-poloviny-rossiyan-v-2020-godu-pereveli-nakopleniya-v-Pensionnyy-fond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Sveta</cp:lastModifiedBy>
  <cp:revision>3</cp:revision>
  <cp:lastPrinted>2020-04-27T12:50:00Z</cp:lastPrinted>
  <dcterms:created xsi:type="dcterms:W3CDTF">2021-06-24T16:04:00Z</dcterms:created>
  <dcterms:modified xsi:type="dcterms:W3CDTF">2021-06-24T16:05:00Z</dcterms:modified>
</cp:coreProperties>
</file>